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Po przyjściu do Mesko pod koniec lipca 2018 roku Zarząd ustalił sytuacje i określił strategie działania.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I. Gaszenie pożaru. Dopracowanie technologii produkcji, wyprodukowanie i sprzedaż kluczowych produktów Mesko. WSZYSTKIE miały opóźnienia i były naliczane kary.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1.  W przypadku Pioruna kara wynosiła  blisko 200 mln złotych wiec sprzedaż tego produktu bez równoczesnego aneksowania umowy i tak groził upadłością firmy. W trakcie tych działań udało się zaprojektować i wykonać metodę kontroli gotowych Piorunów. Dzięki temu wyeliminowano z partii wyrób 7 wadliwych sztuk z czego 5 udało się naprawić. Pozwoliło to dokończyć badania zdawczo-odbiorcze, wynegocjować aneks do umowy zmniejszający naliczone kary i zmieniający harmonogram całych dostaw oraz sprzedać pierwsza partie Pioruna.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2. Spike nie miał potwierdzonej przemijalności przez płytę pancerna chroniona pancerzem reaktywnymi ERAWA. Groziło to zerwaniem umowy przez UI. Nawet specjaliści z Rafaela wątpili czy uda się to uzyskać. Badania zakończyły się sukcesem co pozwoliło dostarczyć Spika do Polskich Sił Zbrojnych.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3. Amunicja 120 mm podkalibrowa ćwiczebna do Leoparda. Również ten kontrakt był znacznie opóźniony i brakowało opracowanej technologii pozwalającej produkować te amunicję. Dopracowano technologie, wyprodukowano i dostarczono 9000 szt wyrobu.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4. Granat moździerzowy 98 mm RAD-3. Poważne problemy technologiczne z wykonaniem korpusu granatu wynikające z nieprawidłowej obróbki termicznej trzciny statecznika i skutkujące brakiem celności. Opracowano technologie, wyprodukowano produkt i dostarczono do zamawiającego.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5. Amunicja 23 mm podkalibrowa i podkalibrowa- fragmentujaca. Mesko zamówiło i kupiło technologie produkcji tego typu pocisku na Wydziale Technologii Materiałowej PW. Po rozpoczęciu producji okazało się ze nie była ona skutecznie zaimplementowana w Mesko oraz brakowało części urządzeń produkcyjnych. Dokupiono i zainstalowano brakujący sprzęt i wdrożono w pełni technologie produkcji. Dodatkowo zdefiniowano parametry potrzebnych do produkcji komponentów i wypracowano z dostawcami te warunki. Pozwoliło to w 2019 roku wyprodukować i dostarczyć zamówienie z 2018. W 2020 jest produkowane i dostarczane zamówienie z 2019.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6. Rakieta 122 mm o zwiększonym zasięgu FENIKS. 860 sztuk rakiet zalegało w magazynie skracając okres resursu. Zostały dostarczone do SZRP co pozwala liczyć na zamówienia.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Czas realizacji tego etapu sierpień 2018 do końca 2019.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II. Uporządkowanie warunków współpracy z kluczowymi kooperantami.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1. Rafael . Kontrakt na Spika był wynegocjowany w ten sposób ze na jego rozpoczęcie zapłaciliśmy 10 mln dolarów jako zabezpieczenie, a następnie przed każda dostawa komponentów do rakiet z Izraela zabezpieczaliśmy 100% jej wartości w postaci akredytywy uruchamianej w momencie wysyłki. Takie warunki drastycznie pogarszały płynność Mesko. Udało się wynegocjować półroczny okres płatności po dostawie.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2. Umowy na APR z Telesystemem. Warunki umowy były takie, ze Telesystem opracowujący za pieniądze Meska (pozyskane z NCBiR) uzyskiwał prawa do wszystkich wyników. Po negocjacjach wszystkie prawa przysługują Mesko.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3. Wynegocjowano z Telesystemem zmianę umowy spółki polegająca na prawie Męska do pierwokupu akcji Telesystemu w okresie pół roku od zgłoszenia przez telesystek takiej oferty. Dodatkowo Mesko uzyskało prawo do wskazania 3 z 9 członków rady nadzorczej Telesystemu.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Czas realizacji sierpień 2018 do sierpień 2019.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III. Zmiana struktury Mesko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Firma była w stanie rozproszenia. Istniała centrala w Skarżysku oraz oddziały zamiejscowe w Pionkach, Kraśniku, Bolechowie i Lubiczowie, które były de facto samodzielnymi firmami ze wszystkimi rozbudowanymi strukturami (księgowość, kadry, BHP, marketing, zakupy itp.) bez centralnego zarządzania. Wynikało to z przerwanego w połowie procesu integracji Mesko </w:t>
      </w: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oraz tendencji odśrodkowych. Przeprowadzono integracje wcielając oddziały zamiejscowe do Mesko jako wydziały produkcyjne i likwidując dyrektorów oraz centralizując wszystkie struktury.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2. W firmie istniało kilkanaście centrów zakupowych co uniemożliwiało kontrole wydatkowania środków. Obecnie jest jeden dział zakupów o transparentnych procedurach.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3. Brak działu badawczo rozwojowego oraz jednej osoby odpowiedzialnej za nadzór licznych projektów rozwojowych. Obecnie utworzono jeden dział koordynujący i nadzorujący wszystkie projekty i personalna odpowiedzialnością. Rozpoczęto odbudowę kompetencji badawczo rozwojowych od budowy i wyposażenia prototypowni.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4. Struktura firmy była oparta o zakłady produkcyjne odpowiedzialne za różne elementy wyrobu, ale nie za gotowy produkt. Powodowało to liczne konflikty oraz brak przypisanej personalnej odpowiedzialności za brak wykonania wyrobu finalnego i przez to brak sprzedaży. Struktura ta została przekształcona w oparta na trzech zintegrowanych Dywizjach produktowych:Rakietowej, Wielkokalibrowej Mało- i Średniokalibrowej. Dywizje składają się z wydziałów produkcyjnych w tym z przekształconych oddziałów zamiejscowych. Na czele dywizji stoi dyrektor odpowiedzialny za produkty od zakupów komponentów do sprzedaży gotowego wyrobu i ewentualnej naprawy gwarancyjnej.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5. Dywizje produktowe są nadzorowane przez Dział Kontroli Jakości podlegający bezpośrednio pod zarząd spółki. Poprzednio rozproszona i niedoinwestowana kontrola jakości podlegała pod kierowników zakładów produkcyjnych co skutkowało wymuszaniu przepuszczaniu bubli. Obecnie kluczowe wyroby (Piorun, Grom, Spike, pociski podkalibrowej) są kontrolowane w 200% (na zakończenie każdego procesu produkcyjnego i na początku następnego procesu oprodukcyjnego)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6. Dywizje produktowe są obsługiwane przez scentralizowane działy:Zakupowy, Utrzymania Ruchu, Finansowy, HR,, BHP, Budowy Maszyn i Narzędzi Specjalnych oraz Sprzedaży i Marketingu.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7. Za magazyny surowców i komponentów odpowiadają dyrektorzy Dywizji. Po ich przejęciu byli odpowiedzialni za inwentaryzacje i określenie co jest zbędne i przeterminowane. Okazało się, ze ogromna ilość materiałów o wartości księgowej ponad 100 mln a księgowana jako produkcja w toku to śmiecie. W 2019 rozpoczęto ich zdejmowanie ze stanu c o wiąże się z pogorszeniem wyniku finansowego spółki.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Okres czasowy sierpień 2018 do końca 2019.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IV. Opracowanie całościowego planu odbudowy i rozbudowy Mesko.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1. Stworzenie biznes planu rozwoju firmy w perspektywie 5 lat opartej o  linie produktowe kluczowe dla wzrostu potencjału obronnego Polski. Po audycie sytuacji w Mesko opracowano całosciowy plan rozwoju. Jego koszty wynosiły ok. 1,2 mld złotych. Obejmował on odbudowę linii do produkcji nitrocelulozy w Pionkach, budowę linii produkcyjnej Nadchloranu Amonu (kluczowy składnik wszystkich odlewanych paliw rakietowych: Piorun, Feniks, Spike itp) w Skarżysku, zwiększenie możliwości produkcyjnych do 1000 szt rocznie Pioruna/Groma. Jednak świadomi ograniczeń możliwości finansowych  do 400 mln zmniejszyliśmy plan ograniczając znacząco jego zakres.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2. Ostatecznie wykonaliśmy biznes plan na 436 mln z czego 36 ze środków własnych. Opracowany biznesplan poddano audytowi prze firmę KPMG oraz testowi Prywatnego Inwestora. Przeszedł on ten proces pozytywnie co zaowocowało pozyskaniem 400 mln pln.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Okres czasowy: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- faza analityczna i pozyskanie środków: od stycznia do grudnia 2019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- realizacja projektu: grudzień 2019 do końca grudnia 2022.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V. Zabezpieczenie kluczowych surowców do produkcji wyrobów na liniach produkcyjnych zbudowanych z inwestycji 400+.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Kluczowym komponentem do produkcji amunicji małokalibrowej oraz łusek do amunicji wielkokalibrowej jest blacha mosiężna. Jednym w Polsce dostawca tego wyrobu jest Walcownia Metali Nieżelaznych w Łabędach należąca do Metrako z grupy KGHM. Ponieważ </w:t>
      </w: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jest ona nierentowna Metrako planuje jej sprzedaż. Jeśli by to nastąpiło na korzyść zagranicznego oferenta zaistniało by znaczące zagrożenie możliwości produkcji amunicji w Polsce na wypadek W. Należy wiec podjąć działania mające na celu eliminacje tego zagrożenia.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2. Kluczowym surowcem do produkcji amunicji podkalibrowej wszelkich kalibrów (od 20mm, 23mm, 30mm, 35mm do czołgowej 120mm Leo i 125mm T-72) jest proszek wolframowy. Jest on uznawany przez większość krajów (USA, Rosję, Niemcy itp) za surowiec strategiczny. Jedynym producentem w Polsce jest Baildonit firma z ponad stuletnimi tradycjami. Niestety z powodu różnych zawirowań znajduje w zarządzie komisarycznym. Chęć zakupu wykazuje firma niemiecka. Jeśli to nastąpił w sytuacji kryzysowej nie będzie możliwości produkcji jakiejkolwiek amunicji podkalibrowej w kraju. W tym przypadku czas  na decyzje się kończy.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3. Ponieważ ograniczenia budżetowe nie pozwoliły na razie na odbudowę linii NC w Pionkach i nadal jesteśmy zmuszeni do kupowania tego komponentu rozbudowywana jest analityka parametrów tego surowca. We współpracy z Zakładem Materiałów Wybuchowych Wydziału Chemicznego PW opracowywujemy pełna i rozbudowywana analityke tego komponentu. Pozwoli to zwiększyć prawdopodobieństwo zakupu surowca, który pozwoli wyprodukować prochy i paliwa o wymaganych parametrach. Nie jest to plan optymalny jak odbudowa linii NC, ale jedyne co w tej sytuacji możemy zrobić.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Okres czasowy: od kwietnia do sierpnia 2020.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VI. Integracja zarządzania firm Grupy Amunicyjno Rakietowej (Gamrat Jaslo, Nitrochem, Dezamet i Belma) z liderem Mesko. Na razie mimo większościowych udziałów Mesko w firmach z tej grupy są one niezależnymi firmami z zarządami i radami nadzorczymi powoływanymi przez PGZ (co wykazała kontrola NIK-u). Tak wiec zarząd Mesko nie ma żadnego wpływu da funkcjonowanie tych firm. Pierwszym etapem integracji powinno być przekształcenie tych firm w oddziały zamiejscowe Mesko, a  po okresie przejściowym w wydziały produkcyjne wcielone do odpowiednich Dywizji Produktowych.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Okres czasowy: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- faza analityczna do końca 2020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- faza przejściowa rok 2021</w:t>
      </w:r>
    </w:p>
    <w:p w:rsidR="007C00C7" w:rsidRPr="007C00C7" w:rsidRDefault="007C00C7" w:rsidP="007C0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00C7">
        <w:rPr>
          <w:rFonts w:ascii="Times New Roman" w:eastAsia="Times New Roman" w:hAnsi="Times New Roman" w:cs="Times New Roman"/>
          <w:sz w:val="24"/>
          <w:szCs w:val="24"/>
          <w:lang w:eastAsia="pl-PL"/>
        </w:rPr>
        <w:t>- pełna integracja od początku 2022.</w:t>
      </w:r>
    </w:p>
    <w:p w:rsidR="00177B0C" w:rsidRPr="007C00C7" w:rsidRDefault="00312F7A" w:rsidP="007C00C7">
      <w:bookmarkStart w:id="0" w:name="_GoBack"/>
      <w:bookmarkEnd w:id="0"/>
    </w:p>
    <w:sectPr w:rsidR="00177B0C" w:rsidRPr="007C00C7" w:rsidSect="00C403E4">
      <w:foot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F7A" w:rsidRDefault="00312F7A" w:rsidP="007C00C7">
      <w:pPr>
        <w:spacing w:after="0" w:line="240" w:lineRule="auto"/>
      </w:pPr>
      <w:r>
        <w:separator/>
      </w:r>
    </w:p>
  </w:endnote>
  <w:endnote w:type="continuationSeparator" w:id="0">
    <w:p w:rsidR="00312F7A" w:rsidRDefault="00312F7A" w:rsidP="007C0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6185061"/>
      <w:docPartObj>
        <w:docPartGallery w:val="Page Numbers (Bottom of Page)"/>
        <w:docPartUnique/>
      </w:docPartObj>
    </w:sdtPr>
    <w:sdtContent>
      <w:p w:rsidR="007C00C7" w:rsidRDefault="007C00C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300">
          <w:rPr>
            <w:noProof/>
          </w:rPr>
          <w:t>3</w:t>
        </w:r>
        <w:r>
          <w:fldChar w:fldCharType="end"/>
        </w:r>
      </w:p>
    </w:sdtContent>
  </w:sdt>
  <w:p w:rsidR="007C00C7" w:rsidRDefault="007C00C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F7A" w:rsidRDefault="00312F7A" w:rsidP="007C00C7">
      <w:pPr>
        <w:spacing w:after="0" w:line="240" w:lineRule="auto"/>
      </w:pPr>
      <w:r>
        <w:separator/>
      </w:r>
    </w:p>
  </w:footnote>
  <w:footnote w:type="continuationSeparator" w:id="0">
    <w:p w:rsidR="00312F7A" w:rsidRDefault="00312F7A" w:rsidP="007C00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AE4563"/>
    <w:multiLevelType w:val="hybridMultilevel"/>
    <w:tmpl w:val="BB06687A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E3328E"/>
    <w:multiLevelType w:val="hybridMultilevel"/>
    <w:tmpl w:val="FF1EEEFC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" w15:restartNumberingAfterBreak="0">
    <w:nsid w:val="50516A75"/>
    <w:multiLevelType w:val="hybridMultilevel"/>
    <w:tmpl w:val="B0869CBE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D25"/>
    <w:rsid w:val="00027EC6"/>
    <w:rsid w:val="00082DD3"/>
    <w:rsid w:val="002A1AD3"/>
    <w:rsid w:val="002A5474"/>
    <w:rsid w:val="00312F7A"/>
    <w:rsid w:val="00363E8D"/>
    <w:rsid w:val="00440B30"/>
    <w:rsid w:val="00635300"/>
    <w:rsid w:val="00666752"/>
    <w:rsid w:val="00711EDE"/>
    <w:rsid w:val="00757929"/>
    <w:rsid w:val="007723FD"/>
    <w:rsid w:val="007C00C7"/>
    <w:rsid w:val="008404DE"/>
    <w:rsid w:val="00A44BC4"/>
    <w:rsid w:val="00AB019B"/>
    <w:rsid w:val="00BB2D25"/>
    <w:rsid w:val="00BF7623"/>
    <w:rsid w:val="00C67B7C"/>
    <w:rsid w:val="00CA0B5F"/>
    <w:rsid w:val="00CE0AA1"/>
    <w:rsid w:val="00D00619"/>
    <w:rsid w:val="00F67FF1"/>
    <w:rsid w:val="00F9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392C01-3898-4C7F-BBF0-00DDBF77C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B2D25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06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061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C0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0C7"/>
  </w:style>
  <w:style w:type="paragraph" w:styleId="Stopka">
    <w:name w:val="footer"/>
    <w:basedOn w:val="Normalny"/>
    <w:link w:val="StopkaZnak"/>
    <w:uiPriority w:val="99"/>
    <w:unhideWhenUsed/>
    <w:rsid w:val="007C0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37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7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7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1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5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1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2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1405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Rządowe Centrum Bezpieczeństwa</Company>
  <LinksUpToDate>false</LinksUpToDate>
  <CharactersWithSpaces>9822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 Wysocka</dc:creator>
  <cp:lastModifiedBy>Dworczyk Michał Paweł</cp:lastModifiedBy>
  <cp:revision>2</cp:revision>
  <cp:lastPrinted>2020-04-16T15:53:00Z</cp:lastPrinted>
  <dcterms:created xsi:type="dcterms:W3CDTF">2020-04-30T16:17:00Z</dcterms:created>
  <dcterms:modified xsi:type="dcterms:W3CDTF">2020-04-30T16:17:00Z</dcterms:modified>
</cp:coreProperties>
</file>